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7AB" w14:textId="77777777" w:rsidR="00D55956" w:rsidRPr="00B91843" w:rsidRDefault="00D55956" w:rsidP="008654C4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Toc111625106"/>
      <w:bookmarkStart w:id="1" w:name="_Toc111625724"/>
      <w:bookmarkStart w:id="2" w:name="_Toc111625933"/>
      <w:bookmarkStart w:id="3" w:name="_Toc111627551"/>
    </w:p>
    <w:p w14:paraId="6A19A865" w14:textId="16DD00B2" w:rsidR="00401442" w:rsidRPr="00B91843" w:rsidRDefault="00401442" w:rsidP="00781854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B91843">
        <w:rPr>
          <w:rFonts w:ascii="Times New Roman" w:hAnsi="Times New Roman" w:cs="Times New Roman"/>
          <w:i/>
          <w:iCs/>
          <w:sz w:val="24"/>
          <w:szCs w:val="24"/>
        </w:rPr>
        <w:t>Příloha č. 1 Výzvy k podání nabídky</w:t>
      </w:r>
      <w:bookmarkEnd w:id="0"/>
      <w:bookmarkEnd w:id="1"/>
      <w:bookmarkEnd w:id="2"/>
      <w:bookmarkEnd w:id="3"/>
    </w:p>
    <w:p w14:paraId="755E1AC8" w14:textId="77777777" w:rsidR="00401442" w:rsidRPr="00B91843" w:rsidRDefault="00401442" w:rsidP="004014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660AB" w14:textId="5895088B" w:rsidR="00401442" w:rsidRPr="006B0C2C" w:rsidRDefault="00401442" w:rsidP="008654C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bookmarkStart w:id="4" w:name="_Toc111625107"/>
      <w:bookmarkStart w:id="5" w:name="_Toc111625725"/>
      <w:bookmarkStart w:id="6" w:name="_Toc111625934"/>
      <w:bookmarkStart w:id="7" w:name="_Toc111627552"/>
      <w:r w:rsidRPr="006B0C2C">
        <w:rPr>
          <w:rFonts w:ascii="Times New Roman" w:hAnsi="Times New Roman" w:cs="Times New Roman"/>
          <w:b/>
          <w:bCs/>
          <w:sz w:val="28"/>
          <w:szCs w:val="28"/>
        </w:rPr>
        <w:t>Textová</w:t>
      </w:r>
      <w:r w:rsidRPr="006B0C2C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část zadávací dokumentace</w:t>
      </w:r>
      <w:bookmarkEnd w:id="4"/>
      <w:bookmarkEnd w:id="5"/>
      <w:bookmarkEnd w:id="6"/>
      <w:bookmarkEnd w:id="7"/>
    </w:p>
    <w:p w14:paraId="5F275D41" w14:textId="77777777" w:rsidR="00401442" w:rsidRPr="00B91843" w:rsidRDefault="00401442" w:rsidP="004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317E5A" w14:textId="77777777" w:rsidR="00401442" w:rsidRPr="00B91843" w:rsidRDefault="00401442" w:rsidP="004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veřejné zakázky malého rozsahu</w:t>
      </w:r>
    </w:p>
    <w:p w14:paraId="79C90035" w14:textId="77777777" w:rsidR="00401442" w:rsidRPr="00B503A2" w:rsidRDefault="00401442" w:rsidP="004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F19F654" w14:textId="2E6BB651" w:rsidR="00401442" w:rsidRPr="00B91843" w:rsidRDefault="00401442" w:rsidP="00401442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503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„</w:t>
      </w:r>
      <w:r w:rsidR="006B0C2C" w:rsidRPr="00B503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Multimetry pro měření F-CH parametrů se sondami</w:t>
      </w:r>
      <w:r w:rsidR="00384606" w:rsidRPr="00B91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“</w:t>
      </w:r>
    </w:p>
    <w:p w14:paraId="120BBEC6" w14:textId="77777777" w:rsidR="00401442" w:rsidRPr="00B91843" w:rsidRDefault="00401442" w:rsidP="00401442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7A265A1" w14:textId="77777777" w:rsidR="00401442" w:rsidRPr="00B91843" w:rsidRDefault="00401442" w:rsidP="00401442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C21B810" w14:textId="42551B08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veřejná zakázka (dále také „zakázka“) je zadávána mimo režim zákona č. 134/2016 Sb., o</w:t>
      </w:r>
      <w:r w:rsidR="000D780E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 v platném znění (dále také „ZZVZ“). </w:t>
      </w:r>
    </w:p>
    <w:p w14:paraId="149F3134" w14:textId="23FB7C9C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veřejnou zakázku malého rozsahu dle § 27 ZZVZ. Veřejná zakázka je zadávána v souladu s</w:t>
      </w:r>
      <w:r w:rsidR="008654C4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31 ZZVZ. Veřejná zakázka je zadávána v souladu s vnitřními předpisy zadavatele. </w:t>
      </w:r>
    </w:p>
    <w:p w14:paraId="3A2F673E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9876B6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0EFF01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Zadavatel upozorňuje, přestože se v této zadávací dokumentaci odkazuje na ustanovení ZZVZ, </w:t>
      </w:r>
      <w:r w:rsidRPr="00B91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není tato veřejná zakázka zadávaná postupem podle ZZVZ</w:t>
      </w:r>
      <w:r w:rsidRPr="00B91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toto výběrové řízení jsou rozhodné pouze podmínky stanovené výzvou k podání nabídky a zadávací dokumentací této veřejné zakázky. </w:t>
      </w:r>
    </w:p>
    <w:p w14:paraId="3D59AFDE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C9DB5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E448C6" w14:textId="6126D6D7" w:rsidR="00EA0892" w:rsidRPr="00B91843" w:rsidRDefault="00401442" w:rsidP="00401442">
      <w:pPr>
        <w:spacing w:after="0" w:line="240" w:lineRule="auto"/>
        <w:jc w:val="both"/>
        <w:rPr>
          <w:sz w:val="24"/>
          <w:szCs w:val="24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Textová část z</w:t>
      </w:r>
      <w:r w:rsidRPr="00B91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adávací dokumentace (dále také „ZD“)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jako příloha č. 1 nedílnou součást výzvy k podání nabídek a je spolu s výzvou pro oslovené dodavatele bezplatně k dispozici na profilu zadavatele</w:t>
      </w:r>
      <w:r w:rsidR="00EA0892" w:rsidRPr="00B91843">
        <w:rPr>
          <w:sz w:val="24"/>
          <w:szCs w:val="24"/>
        </w:rPr>
        <w:t xml:space="preserve"> </w:t>
      </w:r>
      <w:hyperlink r:id="rId11" w:history="1">
        <w:r w:rsidR="00EA0892" w:rsidRPr="00B91843">
          <w:rPr>
            <w:rStyle w:val="Hypertextovodkaz"/>
            <w:sz w:val="24"/>
            <w:szCs w:val="24"/>
          </w:rPr>
          <w:t>https://zakazky.vetuni.cz/</w:t>
        </w:r>
      </w:hyperlink>
      <w:r w:rsidR="00EA0892" w:rsidRPr="00B91843">
        <w:rPr>
          <w:sz w:val="24"/>
          <w:szCs w:val="24"/>
        </w:rPr>
        <w:t>.</w:t>
      </w:r>
    </w:p>
    <w:p w14:paraId="2A0CF1D0" w14:textId="4DA58E21" w:rsidR="000D780E" w:rsidRPr="00B91843" w:rsidRDefault="000D780E" w:rsidP="00401442">
      <w:pPr>
        <w:spacing w:after="0" w:line="240" w:lineRule="auto"/>
        <w:jc w:val="both"/>
        <w:rPr>
          <w:sz w:val="24"/>
          <w:szCs w:val="24"/>
        </w:rPr>
      </w:pPr>
    </w:p>
    <w:p w14:paraId="3A15F6FA" w14:textId="77777777" w:rsidR="000D780E" w:rsidRPr="00B91843" w:rsidRDefault="000D780E" w:rsidP="000D780E">
      <w:pPr>
        <w:tabs>
          <w:tab w:val="left" w:pos="85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 je financována z projektu VETUNI pro udržitelný rozvoj, Registrační číslo projektu: NPO_VETUNI_MSMT-2119/2024-4.</w:t>
      </w:r>
    </w:p>
    <w:p w14:paraId="634A7276" w14:textId="77777777" w:rsidR="000D780E" w:rsidRPr="00B91843" w:rsidRDefault="000D780E" w:rsidP="00401442">
      <w:pPr>
        <w:spacing w:after="0" w:line="240" w:lineRule="auto"/>
        <w:jc w:val="both"/>
        <w:rPr>
          <w:sz w:val="24"/>
          <w:szCs w:val="24"/>
        </w:rPr>
      </w:pPr>
    </w:p>
    <w:p w14:paraId="42FAFC39" w14:textId="519A672D" w:rsidR="00401442" w:rsidRPr="00B91843" w:rsidRDefault="00401442" w:rsidP="00401442">
      <w:pPr>
        <w:spacing w:after="0" w:line="240" w:lineRule="auto"/>
        <w:jc w:val="both"/>
        <w:rPr>
          <w:sz w:val="24"/>
          <w:szCs w:val="24"/>
        </w:rPr>
      </w:pPr>
    </w:p>
    <w:p w14:paraId="31AAFDE2" w14:textId="77777777" w:rsidR="00401442" w:rsidRPr="00B91843" w:rsidRDefault="0040144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sdt>
      <w:sdtPr>
        <w:rPr>
          <w:sz w:val="24"/>
          <w:szCs w:val="24"/>
        </w:rPr>
        <w:id w:val="-7773370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7AC238C0" w14:textId="77777777" w:rsidR="00D83CFA" w:rsidRPr="00B91843" w:rsidRDefault="009C0AB9">
          <w:pPr>
            <w:pStyle w:val="Obsah2"/>
            <w:tabs>
              <w:tab w:val="left" w:pos="660"/>
              <w:tab w:val="right" w:leader="dot" w:pos="9062"/>
            </w:tabs>
            <w:rPr>
              <w:sz w:val="24"/>
              <w:szCs w:val="24"/>
            </w:rPr>
          </w:pPr>
          <w:r w:rsidRPr="00B91843">
            <w:rPr>
              <w:sz w:val="24"/>
              <w:szCs w:val="24"/>
            </w:rPr>
            <w:t>Obsah</w:t>
          </w:r>
        </w:p>
        <w:p w14:paraId="5AEB4557" w14:textId="1A76C602" w:rsidR="00A6500B" w:rsidRDefault="009C0AB9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B91843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cs-CZ"/>
            </w:rPr>
            <w:fldChar w:fldCharType="begin"/>
          </w:r>
          <w:r w:rsidRPr="00B9184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91843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cs-CZ"/>
            </w:rPr>
            <w:fldChar w:fldCharType="separate"/>
          </w:r>
          <w:hyperlink w:anchor="_Toc198799294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1.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ÚVODNÍ USTANOVENÍ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_Toc198799294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3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0ED00A67" w14:textId="5D7D6DB3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295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2.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POŽADAVKY NA ZPRACOVÁNÍ IDENTIFIKAČNÍCH ÚDAJŮ DODAVATELE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_Toc198799295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3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5E2BC531" w14:textId="33F89A72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296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3.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POŽADAVKY ZADAVATELE NA PROKÁZÁNÍ KVALIFIKACE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_Toc198799296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3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5038D658" w14:textId="22ACBF4C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297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4.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PŘEDMĚT VEŘEJNÉ ZAKÁZKY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_Toc198799297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5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2F83DD3D" w14:textId="4E5A5C10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298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5.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PŘEDPOKLÁDANÁ HODNOTA VEŘEJNÉ ZAKÁZKY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_Toc198799298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6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70CB3CE2" w14:textId="12A2CEF0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299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6.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 xml:space="preserve">POŽADAVKY ZADAVATELE NA ZPRACOVÁNÍ </w:t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caps/>
                <w:noProof/>
                <w:lang w:eastAsia="cs-CZ"/>
              </w:rPr>
              <w:t>nabídky a</w:t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 xml:space="preserve"> NABÍDKOVÉ CENY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_Toc198799299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6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3FEB8E22" w14:textId="3B054AEA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300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7.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NÁVRH KUPNÍ SMLOUVY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_Toc198799300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8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4AB874B5" w14:textId="0A90CFBC" w:rsidR="00A6500B" w:rsidRDefault="008D1D5C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8799301" w:history="1"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8.</w:t>
            </w:r>
            <w:r w:rsidR="00A6500B">
              <w:rPr>
                <w:rFonts w:eastAsiaTheme="minorEastAsia"/>
                <w:noProof/>
                <w:lang w:eastAsia="cs-CZ"/>
              </w:rPr>
              <w:tab/>
            </w:r>
            <w:r w:rsidR="00A6500B" w:rsidRPr="004933FE">
              <w:rPr>
                <w:rStyle w:val="Hypertextovodkaz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cs-CZ"/>
              </w:rPr>
              <w:t>SPECIFIKACE PLNĚNÍ - TECHNICKÉ PODMÍNKY</w:t>
            </w:r>
            <w:r w:rsidR="00A6500B">
              <w:rPr>
                <w:noProof/>
                <w:webHidden/>
              </w:rPr>
              <w:tab/>
            </w:r>
            <w:r w:rsidR="00A6500B">
              <w:rPr>
                <w:noProof/>
                <w:webHidden/>
              </w:rPr>
              <w:fldChar w:fldCharType="begin"/>
            </w:r>
            <w:r w:rsidR="00A6500B">
              <w:rPr>
                <w:noProof/>
                <w:webHidden/>
              </w:rPr>
              <w:instrText xml:space="preserve"> PAGEREF _Toc198799301 \h </w:instrText>
            </w:r>
            <w:r w:rsidR="00A6500B">
              <w:rPr>
                <w:noProof/>
                <w:webHidden/>
              </w:rPr>
            </w:r>
            <w:r w:rsidR="00A6500B">
              <w:rPr>
                <w:noProof/>
                <w:webHidden/>
              </w:rPr>
              <w:fldChar w:fldCharType="separate"/>
            </w:r>
            <w:r w:rsidR="000603C4">
              <w:rPr>
                <w:noProof/>
                <w:webHidden/>
              </w:rPr>
              <w:t>8</w:t>
            </w:r>
            <w:r w:rsidR="00A6500B">
              <w:rPr>
                <w:noProof/>
                <w:webHidden/>
              </w:rPr>
              <w:fldChar w:fldCharType="end"/>
            </w:r>
          </w:hyperlink>
        </w:p>
        <w:p w14:paraId="6F54BE12" w14:textId="21623319" w:rsidR="009C0AB9" w:rsidRPr="00B91843" w:rsidRDefault="009C0AB9">
          <w:pPr>
            <w:rPr>
              <w:rFonts w:ascii="Times New Roman" w:hAnsi="Times New Roman" w:cs="Times New Roman"/>
              <w:sz w:val="24"/>
              <w:szCs w:val="24"/>
            </w:rPr>
          </w:pPr>
          <w:r w:rsidRPr="00B9184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10CB9DE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4340E9" w14:textId="77777777" w:rsidR="00FB5194" w:rsidRPr="00B91843" w:rsidRDefault="00FB5194">
      <w:pPr>
        <w:rPr>
          <w:sz w:val="24"/>
          <w:szCs w:val="24"/>
        </w:rPr>
      </w:pPr>
    </w:p>
    <w:p w14:paraId="2F1DD428" w14:textId="77777777" w:rsidR="00401442" w:rsidRPr="00B91843" w:rsidRDefault="00401442">
      <w:pPr>
        <w:rPr>
          <w:sz w:val="24"/>
          <w:szCs w:val="24"/>
        </w:rPr>
      </w:pPr>
    </w:p>
    <w:p w14:paraId="2660CE23" w14:textId="4F63C76B" w:rsidR="00401442" w:rsidRPr="00B91843" w:rsidRDefault="00401442">
      <w:pPr>
        <w:rPr>
          <w:sz w:val="24"/>
          <w:szCs w:val="24"/>
        </w:rPr>
      </w:pPr>
      <w:r w:rsidRPr="00B91843">
        <w:rPr>
          <w:sz w:val="24"/>
          <w:szCs w:val="24"/>
        </w:rPr>
        <w:br w:type="page"/>
      </w:r>
    </w:p>
    <w:p w14:paraId="6AD0E124" w14:textId="77777777" w:rsidR="00401442" w:rsidRPr="00B91843" w:rsidRDefault="00401442" w:rsidP="00D83CFA">
      <w:pPr>
        <w:keepNext/>
        <w:numPr>
          <w:ilvl w:val="0"/>
          <w:numId w:val="1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8" w:name="_Toc111625139"/>
      <w:bookmarkStart w:id="9" w:name="_Toc198799294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ÚVODNÍ USTANOVENÍ</w:t>
      </w:r>
      <w:bookmarkEnd w:id="8"/>
      <w:bookmarkEnd w:id="9"/>
    </w:p>
    <w:p w14:paraId="6A5A0668" w14:textId="7777777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veřejná zakázka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„zakázka“) je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zadávána mimo režim zákona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č. 134/2016 Sb., o zadávání veřejných zakázek v platném znění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1AB4A604" w14:textId="77777777" w:rsidR="00401442" w:rsidRPr="00B91843" w:rsidRDefault="00401442" w:rsidP="001E13F9">
      <w:pPr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Zadavatel upozorňuje, přestože se v této zadávací dokumentaci odkazuje na ustanovení ZZVZ, </w:t>
      </w:r>
      <w:r w:rsidRPr="00B91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není tato veřejná zakázka zadávaná postupem podle ZZVZ</w:t>
      </w:r>
      <w:r w:rsidRPr="00B918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toto výběrové řízení jsou rozhodné pouze podmínky stanovené výzvou k podání nabídky a zadávací dokumentací této veřejné zakázky. </w:t>
      </w:r>
    </w:p>
    <w:p w14:paraId="1F519FF4" w14:textId="561EEEE1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stranu </w:t>
      </w:r>
      <w:r w:rsidR="001032D0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ZD). Pokud je v ZD uvedeno, doporučuje zadavatel využít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Formulář 1, Formulář 2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Dále je dodavatel povinen splnit všechny termíny a podmínky, obsažené v zadávacích podmínkách.</w:t>
      </w:r>
    </w:p>
    <w:p w14:paraId="19720578" w14:textId="77777777" w:rsidR="00401442" w:rsidRPr="00B91843" w:rsidRDefault="00401442" w:rsidP="004014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89E6A" w14:textId="77777777" w:rsidR="00401442" w:rsidRPr="00B91843" w:rsidRDefault="00401442" w:rsidP="00401442">
      <w:pPr>
        <w:keepNext/>
        <w:numPr>
          <w:ilvl w:val="0"/>
          <w:numId w:val="1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10" w:name="_Toc111625140"/>
      <w:bookmarkStart w:id="11" w:name="_Toc198799295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POŽADAVKY NA ZPRACOVÁNÍ IDENTIFIKAČNÍCH ÚDAJŮ DODAVATELE</w:t>
      </w:r>
      <w:bookmarkEnd w:id="10"/>
      <w:bookmarkEnd w:id="11"/>
    </w:p>
    <w:p w14:paraId="6AF22FD5" w14:textId="6ADBC948" w:rsidR="00401442" w:rsidRPr="00B91843" w:rsidRDefault="00401442" w:rsidP="00DC3A53">
      <w:pPr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dodavatel zpracuje a do své nabídky 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předloží své identifikační údaje v jednom vyhotovení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takovém rozsahu, v jakém jsou uvedeny 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Formuláři 1, který může využít jako vzor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(viz příloh</w:t>
      </w:r>
      <w:r w:rsidR="0069076F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75204A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ZD). Formulář musí být podepsán osobou oprávněnou zastupovat dodavatele.</w:t>
      </w:r>
    </w:p>
    <w:p w14:paraId="6821EAB9" w14:textId="77777777" w:rsidR="00401442" w:rsidRPr="00B91843" w:rsidRDefault="00401442" w:rsidP="001E13F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36AE38" w14:textId="77777777" w:rsidR="00401442" w:rsidRPr="00B91843" w:rsidRDefault="00401442" w:rsidP="00401442">
      <w:pPr>
        <w:keepNext/>
        <w:numPr>
          <w:ilvl w:val="0"/>
          <w:numId w:val="1"/>
        </w:numPr>
        <w:spacing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12" w:name="_Toc111625141"/>
      <w:bookmarkStart w:id="13" w:name="_Toc198799296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POŽADAVKY ZADAVATELE NA PROKÁZÁNÍ KVALIFIKACE</w:t>
      </w:r>
      <w:bookmarkEnd w:id="12"/>
      <w:bookmarkEnd w:id="13"/>
    </w:p>
    <w:p w14:paraId="64C69393" w14:textId="77777777" w:rsidR="00401442" w:rsidRPr="00B91843" w:rsidRDefault="00401442" w:rsidP="00DC3A5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Zadavatel požaduje po dodavatelích prokázání splnění následujících kvalifikačních předpokladů:</w:t>
      </w:r>
    </w:p>
    <w:p w14:paraId="31186AB6" w14:textId="77777777" w:rsidR="00401442" w:rsidRPr="00B91843" w:rsidRDefault="00401442" w:rsidP="00401442">
      <w:pPr>
        <w:numPr>
          <w:ilvl w:val="0"/>
          <w:numId w:val="2"/>
        </w:numPr>
        <w:spacing w:after="6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způsobilosti analogicky dle § 74 odst. 1 až 3 ZZVZ </w:t>
      </w:r>
    </w:p>
    <w:p w14:paraId="10C288B5" w14:textId="77777777" w:rsidR="00401442" w:rsidRPr="00B91843" w:rsidRDefault="00401442" w:rsidP="00401442">
      <w:pPr>
        <w:numPr>
          <w:ilvl w:val="0"/>
          <w:numId w:val="2"/>
        </w:numPr>
        <w:spacing w:after="6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profesní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způsobilosti analogicky dle § 77 odst. 1 ZZVZ.</w:t>
      </w:r>
    </w:p>
    <w:p w14:paraId="12035143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13216" w14:textId="77777777" w:rsidR="00401442" w:rsidRPr="00B91843" w:rsidRDefault="00401442" w:rsidP="00DC3A5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Zadavatel nepožaduje prokázání dalších kvalifikačních předpokladů.</w:t>
      </w:r>
    </w:p>
    <w:p w14:paraId="59FB390D" w14:textId="77777777" w:rsidR="00401442" w:rsidRPr="00B91843" w:rsidRDefault="00401442" w:rsidP="00401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8975E" w14:textId="7777777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43">
        <w:rPr>
          <w:rFonts w:ascii="Times New Roman" w:eastAsia="Calibri" w:hAnsi="Times New Roman" w:cs="Times New Roman"/>
          <w:sz w:val="24"/>
          <w:szCs w:val="24"/>
        </w:rPr>
        <w:t>Dodavatelé prokazují splnění kvalifikace doklady požadovanými zadavatelem v této ZD. Podrobnější specifikace dokladů je uvedena dále v této ZD.</w:t>
      </w:r>
    </w:p>
    <w:p w14:paraId="4B63BD5A" w14:textId="7777777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43">
        <w:rPr>
          <w:rFonts w:ascii="Times New Roman" w:eastAsia="Calibri" w:hAnsi="Times New Roman" w:cs="Times New Roman"/>
          <w:b/>
          <w:sz w:val="24"/>
          <w:szCs w:val="24"/>
        </w:rPr>
        <w:t>Dokumenty prokazující způsobilost předkládá dodavatel v prosté kopii.</w:t>
      </w:r>
      <w:r w:rsidRPr="00B91843">
        <w:rPr>
          <w:rFonts w:ascii="Times New Roman" w:eastAsia="Calibri" w:hAnsi="Times New Roman" w:cs="Times New Roman"/>
          <w:sz w:val="24"/>
          <w:szCs w:val="24"/>
        </w:rPr>
        <w:t xml:space="preserve"> Zadavatel si vyhrazuje právo požadovat po vybraném dodavateli před uzavřením smlouvy předložení dokladů v originále či úředně ověřené kopii.</w:t>
      </w:r>
    </w:p>
    <w:p w14:paraId="4C63F51E" w14:textId="4D6A21CE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Doklady prokazující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způsobilost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analogicky dle § 74 ZZVZ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musí prokazovat splnění požadovaného kritéria způsobilosti nejpozději v době 3 měsíců přede dnem </w:t>
      </w:r>
      <w:r w:rsidR="0069076F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zahájení výběrového řízení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BF6E6B" w14:textId="77777777" w:rsidR="00401442" w:rsidRPr="00B91843" w:rsidRDefault="00401442" w:rsidP="00774CB3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ZÁKLADNÍ ZPŮSOBILOST </w:t>
      </w:r>
      <w:r w:rsidRPr="00B918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(analogicky dle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§ 74 odst. 1 až 3 ZZVZ)</w:t>
      </w:r>
    </w:p>
    <w:p w14:paraId="17FBD5A4" w14:textId="77777777" w:rsidR="00401442" w:rsidRPr="00B91843" w:rsidRDefault="00401442" w:rsidP="00774CB3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Způsobilým není dodavatel, který:</w:t>
      </w:r>
    </w:p>
    <w:p w14:paraId="333FB518" w14:textId="77777777" w:rsidR="00401442" w:rsidRPr="00B91843" w:rsidRDefault="00401442" w:rsidP="00F96FD7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2E131C42" w14:textId="4315B2F3" w:rsidR="00401442" w:rsidRPr="00B91843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v evidenci daní zachycen splatný daňový nedoplatek,</w:t>
      </w:r>
      <w:r w:rsidR="001C2230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i ve vztahu ke spotřební dani</w:t>
      </w:r>
      <w:r w:rsidR="00D60F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E2FCED8" w14:textId="77777777" w:rsidR="00401442" w:rsidRPr="00B91843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7B1EF727" w14:textId="77777777" w:rsidR="00401442" w:rsidRPr="00B91843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6DFC8655" w14:textId="77777777" w:rsidR="00401442" w:rsidRPr="00B91843" w:rsidRDefault="00401442" w:rsidP="001E13F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BBA4BC4" w14:textId="77777777" w:rsidR="00401442" w:rsidRPr="00B91843" w:rsidRDefault="00401442" w:rsidP="001E13F9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04F94C70" w14:textId="77777777" w:rsidR="00401442" w:rsidRPr="00B91843" w:rsidRDefault="00401442" w:rsidP="00F96FD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právnická osoba,</w:t>
      </w:r>
    </w:p>
    <w:p w14:paraId="6AF61AEF" w14:textId="77777777" w:rsidR="00401442" w:rsidRPr="00B91843" w:rsidRDefault="00401442" w:rsidP="00F96FD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člen statutárního orgánu této právnické osoby a</w:t>
      </w:r>
    </w:p>
    <w:p w14:paraId="7E743024" w14:textId="77777777" w:rsidR="00401442" w:rsidRPr="00B91843" w:rsidRDefault="00401442" w:rsidP="00F96FD7">
      <w:pPr>
        <w:pStyle w:val="Odstavecseseznamem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zastupující tuto právnickou osobu v statutárním orgánu dodavatele.</w:t>
      </w:r>
    </w:p>
    <w:p w14:paraId="4A67D5E1" w14:textId="77777777" w:rsidR="00401442" w:rsidRPr="00B91843" w:rsidRDefault="00401442" w:rsidP="00774CB3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Účastní-li se zadávacího řízení pobočka závodu</w:t>
      </w:r>
    </w:p>
    <w:p w14:paraId="0C84FBDF" w14:textId="77777777" w:rsidR="00401442" w:rsidRPr="00B91843" w:rsidRDefault="00401442" w:rsidP="00C203C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právnické osoby, musí podmínku podle odstavce 1 písm. a) splňovat tato právnická osoba a vedoucí pobočky závodu,</w:t>
      </w:r>
    </w:p>
    <w:p w14:paraId="64BF5966" w14:textId="77777777" w:rsidR="00401442" w:rsidRPr="00B91843" w:rsidRDefault="00401442" w:rsidP="00C203CF">
      <w:pPr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právnické osoby, musí podmínku podle odstavce 1 písm. a) splňovat osoby uvedené v odstavci 2 a vedoucí pobočky závodu.</w:t>
      </w:r>
    </w:p>
    <w:p w14:paraId="1BD59186" w14:textId="0EE8236A" w:rsidR="00401442" w:rsidRPr="00B91843" w:rsidRDefault="00401442" w:rsidP="001E13F9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B91843">
        <w:rPr>
          <w:rFonts w:ascii="Times New Roman" w:eastAsia="Calibri" w:hAnsi="Times New Roman" w:cs="Times New Roman"/>
          <w:bCs/>
          <w:sz w:val="24"/>
          <w:szCs w:val="24"/>
        </w:rPr>
        <w:t xml:space="preserve">Dodavatel prokáže splnění podmínek základní způsobilosti </w:t>
      </w:r>
      <w:r w:rsidRPr="00B91843">
        <w:rPr>
          <w:rFonts w:ascii="Times New Roman" w:eastAsia="Calibri" w:hAnsi="Times New Roman" w:cs="Times New Roman"/>
          <w:b/>
          <w:sz w:val="24"/>
          <w:szCs w:val="24"/>
        </w:rPr>
        <w:t xml:space="preserve">předložením čestného prohlášení.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čestného prohlášení musí být zřejmé, že dodavatel požadovanou základní způsobilost analogicky dle </w:t>
      </w:r>
      <w:proofErr w:type="spellStart"/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. § 74 odst. 1 až 3 ZZVZ splňuje</w:t>
      </w:r>
      <w:r w:rsidRPr="00B9184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;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musí být datováno a podepsáno osobou oprávněnou zastupovat dodavatele</w:t>
      </w:r>
      <w:r w:rsidRPr="00B9184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r w:rsidRPr="00B91843">
        <w:rPr>
          <w:rFonts w:ascii="Times New Roman" w:eastAsia="Calibri" w:hAnsi="Times New Roman" w:cs="Times New Roman"/>
          <w:sz w:val="24"/>
          <w:szCs w:val="24"/>
        </w:rPr>
        <w:t xml:space="preserve">Zadavatel doporučuje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předložení čestného prohlášení využít vzorový 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Formulář 2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přílohu </w:t>
      </w:r>
      <w:r w:rsidR="00E50352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75204A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ZD)</w:t>
      </w:r>
      <w:r w:rsidRPr="00B9184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14:paraId="6B3C71A2" w14:textId="77777777" w:rsidR="00401442" w:rsidRPr="00B91843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PROFESNÍ ZPŮSOBILOST </w:t>
      </w:r>
      <w:r w:rsidRPr="00B918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 § 77 odst. 1 ZZVZ)</w:t>
      </w:r>
    </w:p>
    <w:p w14:paraId="08E03749" w14:textId="77777777" w:rsidR="00401442" w:rsidRPr="00B91843" w:rsidRDefault="00401442" w:rsidP="00C203CF">
      <w:pPr>
        <w:spacing w:before="60" w:after="6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8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Profesní způsobilost analogicky dle</w:t>
      </w: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§ 77 odst. 1 ZZVZ: </w:t>
      </w:r>
    </w:p>
    <w:p w14:paraId="04B794C0" w14:textId="0CEEBA3F" w:rsidR="00160A8A" w:rsidRDefault="00401442" w:rsidP="00C84FEC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prokazuje splnění profesní způsobilosti ve vztahu k České republice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předložením výpisu z obchodního rejstříku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jiné obdobné evidence, pokud jiný právní předpis zápis do takové evidence vyžaduje</w:t>
      </w:r>
      <w:r w:rsidR="00C84FEC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0A8A" w:rsidRPr="00B91843">
        <w:rPr>
          <w:rFonts w:ascii="Times New Roman" w:eastAsia="Calibri" w:hAnsi="Times New Roman" w:cs="Times New Roman"/>
          <w:sz w:val="24"/>
          <w:szCs w:val="24"/>
        </w:rPr>
        <w:t xml:space="preserve">a v případě, že účastník není zapsán v obchodním rejstříku, doloží ČP (přílohu č. </w:t>
      </w:r>
      <w:r w:rsidR="0075204A" w:rsidRPr="00B91843">
        <w:rPr>
          <w:rFonts w:ascii="Times New Roman" w:eastAsia="Calibri" w:hAnsi="Times New Roman" w:cs="Times New Roman"/>
          <w:sz w:val="24"/>
          <w:szCs w:val="24"/>
        </w:rPr>
        <w:t>3</w:t>
      </w:r>
      <w:r w:rsidR="00160A8A" w:rsidRPr="00B91843">
        <w:rPr>
          <w:rFonts w:ascii="Times New Roman" w:eastAsia="Calibri" w:hAnsi="Times New Roman" w:cs="Times New Roman"/>
          <w:sz w:val="24"/>
          <w:szCs w:val="24"/>
        </w:rPr>
        <w:t xml:space="preserve"> ZD), že není v likvidaci, nebylo proti němu vydáno rozhodnutí o úpadku, nebyla vůči němu nařízena nucená správa podle jiného právního předpisu nebo není v obdobné situaci podle právního řádu země svého sídla.</w:t>
      </w:r>
    </w:p>
    <w:p w14:paraId="3D6BC4AD" w14:textId="6A64E6C1" w:rsidR="00EF1C36" w:rsidRDefault="00EF1C36" w:rsidP="00C84FEC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56603" w14:textId="6882003B" w:rsidR="00EF1C36" w:rsidRDefault="00EF1C36" w:rsidP="00C84FEC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493B6" w14:textId="736BA800" w:rsidR="00EF1C36" w:rsidRPr="00EF1C36" w:rsidRDefault="00EF1C36" w:rsidP="00EF1C3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Dodavatel může předložit k prokázání základní a profesní způsobilosti Výpis ze seznamu kvalifikovaných dodavatelů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228 ZZVZ, pokud k poslednímu dni, ke kterému má být prokázána základní nebo profesní způsobilost, není výpis ze seznamu kvalifikovaných dodavatelů starší než 3 měsíce. </w:t>
      </w:r>
    </w:p>
    <w:p w14:paraId="5F637892" w14:textId="54FE96B7" w:rsidR="00EF1C36" w:rsidRPr="00EF1C36" w:rsidRDefault="00EF1C36" w:rsidP="00EF1C3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může vždy nahradit požadované doklady jednotným evropským osvědčením pro veřejné zakázky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87 ZZVZ.</w:t>
      </w:r>
    </w:p>
    <w:p w14:paraId="06154F83" w14:textId="5786D8DC" w:rsidR="00EF1C36" w:rsidRPr="00EF1C36" w:rsidRDefault="00EF1C36" w:rsidP="00EF1C3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není povinen předložit zadavateli doklady osvědčující skutečnosti obsažené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jednotném evropském osvědčení pro veřejné zakázky, pokud zadavateli sdělí, že mu je již předložil v předchozím 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výběrovém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řízení.</w:t>
      </w:r>
    </w:p>
    <w:p w14:paraId="7A97F93A" w14:textId="4420F55C" w:rsidR="00EF1C36" w:rsidRPr="00EF1C36" w:rsidRDefault="00EF1C36" w:rsidP="00EF1C3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může také prokázat splnění základní a profesní způsobilosti certifikátem ze systému certifikovaných dodavatelů nebo osvědčením 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233 a § 234 ZZVZ. </w:t>
      </w:r>
    </w:p>
    <w:p w14:paraId="33411F75" w14:textId="04F3F8CF" w:rsidR="00EF1C36" w:rsidRPr="00EF1C36" w:rsidRDefault="00EF1C36" w:rsidP="00EF1C3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81 ZZVZ platí: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případě, že byla kvalifikace získána v zahraničí, prokazuje se doklady vydanými podle právního řádu země, ve které byla získána, a to v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 požadovaném zadavatelem.</w:t>
      </w:r>
    </w:p>
    <w:p w14:paraId="5E4FC4D4" w14:textId="7AFDB4C4" w:rsidR="00EF1C36" w:rsidRPr="00B91843" w:rsidRDefault="00EF1C36" w:rsidP="00EF1C36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82 ZZVZ platí: V případě společné účasti dodavatelů prokazuje základní způsobilost a profesní způsobilost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dle</w:t>
      </w:r>
      <w:r w:rsidRPr="00EF1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77 odst. 1 ZZVZ každý dodavatel samostatně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DAEBB8" w14:textId="77777777" w:rsidR="00401442" w:rsidRPr="00B91843" w:rsidRDefault="00401442" w:rsidP="00401442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14" w:name="_Toc111625142"/>
      <w:bookmarkStart w:id="15" w:name="_Toc198799297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PŘEDMĚT VEŘEJNÉ ZAKÁZKY</w:t>
      </w:r>
      <w:bookmarkEnd w:id="14"/>
      <w:bookmarkEnd w:id="15"/>
    </w:p>
    <w:p w14:paraId="7368708F" w14:textId="68116BEF" w:rsidR="00B91843" w:rsidRPr="00166E8C" w:rsidRDefault="00B503A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16" w:name="_Hlk111112134"/>
      <w:bookmarkStart w:id="17" w:name="_Hlk52267730"/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veřejné zakázky (dále také „VZ“) v části 1 je dodávka 2 ks přenosných multime</w:t>
      </w:r>
      <w:r w:rsidR="00E34DBB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rů umožňujících pomocí volně kombinovatelných sond měřit pH/</w:t>
      </w:r>
      <w:proofErr w:type="spellStart"/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mV</w:t>
      </w:r>
      <w:proofErr w:type="spellEnd"/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/ORP, vodivost/TDS/salinitu/měrný odpor, DO/BOD nebo ISE. Vybaven dvěma vstupy, tak aby měřil dva parametry současně. Pro analýzu kvality vody především odpadních vod </w:t>
      </w:r>
      <w:r w:rsidRPr="00166E8C">
        <w:t>v</w:t>
      </w:r>
      <w:r w:rsidR="00166E8C">
        <w:t> </w:t>
      </w:r>
      <w:r w:rsidRPr="00166E8C">
        <w:t>laboratoři</w:t>
      </w: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. Minimální technické požadavky jsou uvedeny v příloze smlouvy č. 1 pro část 1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„Technická specifikace a minimální technické požadavky pro část 1“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10585F" w14:textId="77777777" w:rsidR="00166E8C" w:rsidRPr="00B503A2" w:rsidRDefault="00166E8C" w:rsidP="00166E8C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64EB5DC" w14:textId="28811768" w:rsidR="00B503A2" w:rsidRDefault="00B503A2" w:rsidP="00B503A2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B503A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Předmětem veřejné zakázky (dále také „VZ“) v části 2 je dodávka 2 ks multimetrů umožňujících pomocí volně kombinovatelných sond měřit pH/</w:t>
      </w:r>
      <w:proofErr w:type="spellStart"/>
      <w:r w:rsidRPr="00B503A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mV</w:t>
      </w:r>
      <w:proofErr w:type="spellEnd"/>
      <w:r w:rsidRPr="00B503A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/ORP, vodivost/TDS/salinitu/měrný odpor, DO/BOD nebo ISE. Vybaven dvěma vstupy, tak aby měřil dva parametry současně. Pro analýzu kvality vody v</w:t>
      </w:r>
      <w:r w:rsidR="00166E8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 </w:t>
      </w:r>
      <w:r w:rsidRPr="00B503A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terénu. Minimální technické požadavky jsou uvedeny v příloze smlouvy č. 1 pro část 2</w:t>
      </w:r>
      <w:r w:rsidR="00166E8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„Technická specifikace a</w:t>
      </w:r>
      <w:r w:rsidR="00A6500B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 </w:t>
      </w:r>
      <w:r w:rsidR="00166E8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minimální technické požadavky pro část 2“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14:paraId="11A72D60" w14:textId="77777777" w:rsidR="00B503A2" w:rsidRPr="00B503A2" w:rsidRDefault="00B503A2" w:rsidP="00B503A2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2F91EBE7" w14:textId="5C3B8BA0" w:rsidR="00401442" w:rsidRPr="00B91843" w:rsidRDefault="00351946" w:rsidP="00B91843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Zakázka je spolufinancovaná z projektu VETUNI pro udržitelný rozvoj, Registrační číslo projektu: NPO_VETUNI_MSMT-2119/2024-4.</w:t>
      </w:r>
      <w:r w:rsidR="00401442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16"/>
    </w:p>
    <w:p w14:paraId="0C13D2B7" w14:textId="77777777" w:rsidR="00401442" w:rsidRPr="00B91843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kódy CPV: </w:t>
      </w:r>
    </w:p>
    <w:p w14:paraId="6F876921" w14:textId="77777777" w:rsidR="00C203CF" w:rsidRPr="00B91843" w:rsidRDefault="00C203CF" w:rsidP="00C203C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</w:tblGrid>
      <w:tr w:rsidR="00E50352" w:rsidRPr="00B91843" w14:paraId="187C4180" w14:textId="77777777" w:rsidTr="005A1201">
        <w:trPr>
          <w:trHeight w:val="300"/>
        </w:trPr>
        <w:tc>
          <w:tcPr>
            <w:tcW w:w="1843" w:type="dxa"/>
            <w:noWrap/>
            <w:vAlign w:val="center"/>
          </w:tcPr>
          <w:p w14:paraId="3ACF4CAB" w14:textId="04E2F175" w:rsidR="00E50352" w:rsidRPr="00B91843" w:rsidRDefault="00B503A2" w:rsidP="00E5035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b/>
                <w:sz w:val="24"/>
                <w:szCs w:val="24"/>
              </w:rPr>
              <w:t>38300000-8</w:t>
            </w:r>
          </w:p>
        </w:tc>
        <w:tc>
          <w:tcPr>
            <w:tcW w:w="5245" w:type="dxa"/>
            <w:noWrap/>
            <w:vAlign w:val="center"/>
          </w:tcPr>
          <w:p w14:paraId="3DBD0BD8" w14:textId="695EC5DE" w:rsidR="00E50352" w:rsidRPr="00B91843" w:rsidRDefault="00B503A2" w:rsidP="00E5035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Měřící přístroje</w:t>
            </w:r>
          </w:p>
        </w:tc>
      </w:tr>
      <w:tr w:rsidR="000D780E" w:rsidRPr="00B91843" w14:paraId="75BDD3A2" w14:textId="77777777" w:rsidTr="005A1201">
        <w:trPr>
          <w:trHeight w:val="300"/>
        </w:trPr>
        <w:tc>
          <w:tcPr>
            <w:tcW w:w="1843" w:type="dxa"/>
            <w:noWrap/>
            <w:vAlign w:val="center"/>
          </w:tcPr>
          <w:p w14:paraId="417759BB" w14:textId="6534F76E" w:rsidR="000D780E" w:rsidRPr="00B91843" w:rsidRDefault="000D780E" w:rsidP="00A4600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_Hlk43460816"/>
            <w:r w:rsidRPr="00B91843">
              <w:rPr>
                <w:rFonts w:ascii="Times New Roman" w:hAnsi="Times New Roman" w:cs="Times New Roman"/>
                <w:b/>
                <w:sz w:val="24"/>
                <w:szCs w:val="24"/>
              </w:rPr>
              <w:t>38432000-2</w:t>
            </w:r>
          </w:p>
        </w:tc>
        <w:tc>
          <w:tcPr>
            <w:tcW w:w="5245" w:type="dxa"/>
            <w:noWrap/>
            <w:vAlign w:val="center"/>
          </w:tcPr>
          <w:p w14:paraId="1ABA3CDE" w14:textId="6A81FA30" w:rsidR="000D780E" w:rsidRPr="00B91843" w:rsidRDefault="000D780E" w:rsidP="00A4600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Analytické přístroje</w:t>
            </w:r>
          </w:p>
        </w:tc>
      </w:tr>
      <w:bookmarkEnd w:id="18"/>
    </w:tbl>
    <w:p w14:paraId="00008BB4" w14:textId="77777777" w:rsidR="00401442" w:rsidRPr="00B91843" w:rsidRDefault="00401442" w:rsidP="00C203C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FFC28DF" w14:textId="49052F4C" w:rsidR="00401442" w:rsidRPr="00B91843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Podrobná technická specifikace zboží a minimální technické požadavky zadavatele na zboží jsou stanoveny blíže v dokument</w:t>
      </w:r>
      <w:r w:rsid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384606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technická specifikace a minimální technické požadavky</w:t>
      </w:r>
      <w:r w:rsidR="00B503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část 1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B503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„technická specifikace a minimální technické požadavky pro část 2“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jako nedílná součást přílohu č. </w:t>
      </w:r>
      <w:r w:rsidR="00384606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příslušného </w:t>
      </w:r>
      <w:r w:rsidR="00384606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návrhu kupní smlouvy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7B8BA7E" w14:textId="5FD06549" w:rsidR="00401442" w:rsidRPr="00B91843" w:rsidRDefault="00E41527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 zadávací dokumentaci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 této zadávací dokumentaci. V případě, že zadávací podmínky obsahují odkazy na normy nebo technické dokumenty zadavatel umožnuje nabídnout rovnocenné řešení, které naplní zadavatelem stanovené požadavky na výkon nebo funkci.</w:t>
      </w:r>
    </w:p>
    <w:p w14:paraId="04D76658" w14:textId="0FA2BA05" w:rsidR="00401442" w:rsidRPr="00B91843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9" w:name="_Hlk111112196"/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Veřejná zakázka </w:t>
      </w:r>
      <w:r w:rsidR="00B503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rozdělena na</w:t>
      </w:r>
      <w:r w:rsidR="00B503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9076F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části</w:t>
      </w:r>
      <w:r w:rsidR="00B503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503A2" w:rsidRPr="00B503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analogicky ve smyslu § 35 ZZVZ</w:t>
      </w:r>
      <w:r w:rsidR="00384606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bookmarkEnd w:id="19"/>
    <w:p w14:paraId="567DE71A" w14:textId="4D15B84B" w:rsidR="00401442" w:rsidRPr="00B91843" w:rsidRDefault="00401442" w:rsidP="00C203CF">
      <w:pPr>
        <w:numPr>
          <w:ilvl w:val="1"/>
          <w:numId w:val="1"/>
        </w:numPr>
        <w:tabs>
          <w:tab w:val="num" w:pos="540"/>
        </w:tabs>
        <w:spacing w:before="60" w:after="6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Výsledkem </w:t>
      </w:r>
      <w:r w:rsidR="00384606"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výběrového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řízení tak bude uzavření kupní smlouvy mezi zadavatelem a</w:t>
      </w:r>
      <w:r w:rsidR="0075204A"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vybraným dodavatelem</w:t>
      </w:r>
      <w:r w:rsidR="00B503A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 a to v každé části veřejné zakázky samostatně</w:t>
      </w:r>
      <w:r w:rsidRPr="00B9184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kupní smlouvě </w:t>
      </w:r>
      <w:r w:rsid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každou část zakázky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vždy vymezeny veškeré podmínky plnění.</w:t>
      </w:r>
    </w:p>
    <w:p w14:paraId="6DD731D8" w14:textId="7777777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nepřipouští varianty nabídek – variantní řešení. </w:t>
      </w:r>
    </w:p>
    <w:p w14:paraId="73A02287" w14:textId="6E67FA1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nepožaduje poskytnutí jistoty k zajištění plnění povinností vyplývajících z účasti účastníka v</w:t>
      </w:r>
      <w:r w:rsidR="0075204A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výběrovém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řízení.</w:t>
      </w:r>
    </w:p>
    <w:p w14:paraId="61598702" w14:textId="6CB662EC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Podáním nabídky dodavatel zcela a bez výhrad akceptuje podmínky </w:t>
      </w:r>
      <w:r w:rsidR="0075204A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řízení.</w:t>
      </w:r>
    </w:p>
    <w:p w14:paraId="429D3C35" w14:textId="1EF30ED6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ve smluvním vzoru.</w:t>
      </w:r>
    </w:p>
    <w:p w14:paraId="251B86FC" w14:textId="77777777" w:rsidR="001E13F9" w:rsidRPr="00B91843" w:rsidRDefault="001E13F9" w:rsidP="001E13F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164132" w14:textId="77777777" w:rsidR="00401442" w:rsidRPr="00B91843" w:rsidRDefault="00401442" w:rsidP="001E13F9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20" w:name="_Toc111625143"/>
      <w:bookmarkStart w:id="21" w:name="_Toc198799298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PŘEDPOKLÁDANÁ HODNOTA VEŘEJNÉ ZAKÁZKY</w:t>
      </w:r>
      <w:bookmarkEnd w:id="20"/>
      <w:bookmarkEnd w:id="21"/>
    </w:p>
    <w:p w14:paraId="2B11B161" w14:textId="6BDEAAA1" w:rsidR="00401442" w:rsidRPr="00B91843" w:rsidRDefault="00401442" w:rsidP="00774CB3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Předpokládaná hodnota této veřejné zakázky činí celkem </w:t>
      </w:r>
      <w:r w:rsidR="00B503A2" w:rsidRPr="00B503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605 785</w:t>
      </w:r>
      <w:r w:rsidR="00351946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CZK bez DPH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celý předmět plnění této veřejné zakázky a zahrnuje veškeré náklady spojené s plněním této veřejné zakázky. </w:t>
      </w:r>
    </w:p>
    <w:p w14:paraId="420E86CD" w14:textId="5844C7DD" w:rsidR="00384606" w:rsidRDefault="006F137C" w:rsidP="001032D0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 w:rsidRPr="00BE3E72">
        <w:rPr>
          <w:rFonts w:ascii="Times New Roman" w:hAnsi="Times New Roman"/>
          <w:sz w:val="24"/>
          <w:szCs w:val="24"/>
        </w:rPr>
        <w:t>Takto stanovená předpokládaná hodnota VZ není stanovena jako cena maximální.</w:t>
      </w:r>
      <w:r w:rsidRPr="00B91843">
        <w:rPr>
          <w:rFonts w:ascii="Times New Roman" w:hAnsi="Times New Roman"/>
          <w:sz w:val="24"/>
          <w:szCs w:val="24"/>
        </w:rPr>
        <w:t xml:space="preserve"> </w:t>
      </w:r>
    </w:p>
    <w:p w14:paraId="5D494952" w14:textId="77777777" w:rsidR="00B503A2" w:rsidRPr="00B503A2" w:rsidRDefault="00B503A2" w:rsidP="00B503A2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 je rozdělena na části.:</w:t>
      </w:r>
    </w:p>
    <w:p w14:paraId="5F8EB750" w14:textId="55A5F573" w:rsidR="00B503A2" w:rsidRPr="00B503A2" w:rsidRDefault="00B503A2" w:rsidP="00B503A2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1: Multimetry pro měření F-CH parametrů se sondami laboratorní 2 Ks: </w:t>
      </w:r>
      <w:r w:rsidR="0021486B">
        <w:rPr>
          <w:rFonts w:ascii="Times New Roman" w:eastAsia="Times New Roman" w:hAnsi="Times New Roman" w:cs="Times New Roman"/>
          <w:sz w:val="24"/>
          <w:szCs w:val="24"/>
          <w:lang w:eastAsia="cs-CZ"/>
        </w:rPr>
        <w:t>300 000</w:t>
      </w: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 za 2 ks</w:t>
      </w:r>
    </w:p>
    <w:p w14:paraId="61B46058" w14:textId="4E1E3AF3" w:rsidR="00B503A2" w:rsidRPr="00B91843" w:rsidRDefault="00B503A2" w:rsidP="00B503A2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2: Multimetry pro měření F-CH parametrů se sondami do terénu 2 ks: </w:t>
      </w:r>
      <w:r w:rsidR="0021486B">
        <w:rPr>
          <w:rFonts w:ascii="Times New Roman" w:eastAsia="Times New Roman" w:hAnsi="Times New Roman" w:cs="Times New Roman"/>
          <w:sz w:val="24"/>
          <w:szCs w:val="24"/>
          <w:lang w:eastAsia="cs-CZ"/>
        </w:rPr>
        <w:t>305 785</w:t>
      </w:r>
      <w:r w:rsidRPr="00B50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 za 2 ks</w:t>
      </w:r>
    </w:p>
    <w:p w14:paraId="3E0ED9C7" w14:textId="70E6B93D" w:rsidR="006B0C2C" w:rsidRDefault="00401442" w:rsidP="00E25724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22" w:name="_Toc111625144"/>
      <w:bookmarkStart w:id="23" w:name="_Toc198799299"/>
      <w:bookmarkEnd w:id="17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POŽADAVKY ZADAVATELE NA ZPRACOVÁNÍ </w:t>
      </w:r>
      <w:r w:rsidRPr="00B91843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cs-CZ"/>
        </w:rPr>
        <w:t>nabídky a</w:t>
      </w:r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NABÍDKOVÉ CENY</w:t>
      </w:r>
      <w:bookmarkEnd w:id="22"/>
      <w:bookmarkEnd w:id="23"/>
    </w:p>
    <w:p w14:paraId="69397ABA" w14:textId="77777777" w:rsidR="00E25724" w:rsidRPr="00E25724" w:rsidRDefault="00E25724" w:rsidP="00E25724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 je rozdělena na 2 částí analogicky ve smyslu § 35 ZZVZ. Dodavatelé mohou podávat nabídku na jednu část VZ nebo na dvě části.</w:t>
      </w:r>
    </w:p>
    <w:p w14:paraId="5D262076" w14:textId="7FDF14EF" w:rsidR="00E25724" w:rsidRPr="00E25724" w:rsidRDefault="00E25724" w:rsidP="00E25724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Nabídky pro každou z částí této veřejné zakázky budou zadavatelem posuzovány a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hodnoceny samostatně a v souladu s tím bude i každá část veřejné zakázky samostatně zadána. Počet částí, které lze zadat jednomu účastníku výběrového řízení není omezen. </w:t>
      </w:r>
    </w:p>
    <w:p w14:paraId="16EF263A" w14:textId="3E58C3B0" w:rsidR="00E25724" w:rsidRDefault="00E25724" w:rsidP="00E25724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Výsledkem výběrového řízení tak bude uzavření kupní smlouvy mezi zadavatelem a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vybraným dodavatelem, a to samostatně pro každou část veřejné zakázky</w:t>
      </w:r>
    </w:p>
    <w:p w14:paraId="612360E6" w14:textId="129B6AA1" w:rsidR="00E25724" w:rsidRPr="00E25724" w:rsidRDefault="00E25724" w:rsidP="00E25724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stanovuje, že nabídka dodavatele musí obsahovat následující:</w:t>
      </w:r>
    </w:p>
    <w:p w14:paraId="0E29F4BA" w14:textId="7777777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budou předloženy v souladu se ZD;</w:t>
      </w:r>
    </w:p>
    <w:p w14:paraId="7A9E3073" w14:textId="77777777" w:rsidR="00401442" w:rsidRPr="00B91843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Doklady k prokázání kvalifikace dodavatele – základní a profesní způsobilosti 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čl. 3 této ZD) </w:t>
      </w:r>
      <w:r w:rsidRPr="00B918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zpracované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 </w:t>
      </w:r>
      <w:r w:rsidRPr="00B918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3 ZD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B5A46A" w14:textId="651583DC" w:rsidR="00401442" w:rsidRPr="00E25724" w:rsidRDefault="00401442" w:rsidP="001E13F9">
      <w:pPr>
        <w:numPr>
          <w:ilvl w:val="1"/>
          <w:numId w:val="1"/>
        </w:numPr>
        <w:tabs>
          <w:tab w:val="num" w:pos="540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smlouvy (smluvní vzor Kupní smlouvy):</w:t>
      </w:r>
    </w:p>
    <w:p w14:paraId="26E8372E" w14:textId="161E83C5" w:rsidR="00E25724" w:rsidRPr="00E25724" w:rsidRDefault="00E25724" w:rsidP="00E25724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nabídky dodavatele musí být návrh kupní smlouvy obligatorního charakteru, který bude:</w:t>
      </w:r>
    </w:p>
    <w:p w14:paraId="35999BF4" w14:textId="5C73ED79" w:rsidR="00E25724" w:rsidRPr="00E25724" w:rsidRDefault="00E25724" w:rsidP="00E25724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Obsahovat pouze všechna ustanovení smluvního vzoru kupní smlouvy (dále také “smluvní vzor” nebo „smlouva“) jedné nebo všech částí veřejné zakázky dle toho, zda dodavatel předkládá nabídku pro část 1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 2, která tvoří přílohu č. 1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Návrh smlouvy nesmí být měněn, dodavatel pouze doplní do návrhu smlouvy data a údaje, které jsou po něm vyžadovány. </w:t>
      </w:r>
    </w:p>
    <w:p w14:paraId="6100BAFA" w14:textId="7CA1B924" w:rsidR="00E25724" w:rsidRPr="00E25724" w:rsidRDefault="00E25724" w:rsidP="00E25724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Datován a podepsán osobou oprávněnou zastupovat dodavatele. Podpisem návrhu smlouvy stvrzuje dodavatel pravdivost, úplnost a závaznost všech údajů a svých tvrzení v nabídce.</w:t>
      </w:r>
    </w:p>
    <w:p w14:paraId="7411F2C4" w14:textId="2D63E7C9" w:rsidR="00E25724" w:rsidRPr="00E25724" w:rsidRDefault="00E25724" w:rsidP="00E25724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doporučuje, aby byl návrh smlouvy podepsán dodavatelem způsobem dle výpisu z obchodního rejstříku či jiné obdobné evidence, popřípadě osobou oprávněnou (osobami oprávněnými) zastupovat dodavatele. Zastupuje-li dodavatele zástupce, doporučuje zadavatel z důvodu právní jistoty, aby dodavatel v nabídce uvedl, resp. Doložil právní titul zastoupení (plná moc, vedoucí organizační složky, pověření apod.), nevyplývá-li právní důvod z jiných předložených dokumentů (např. Prokura z výpisu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obchodního rejstříku).</w:t>
      </w:r>
    </w:p>
    <w:p w14:paraId="6F9B4342" w14:textId="70B8143D" w:rsidR="00E25724" w:rsidRPr="00E25724" w:rsidRDefault="00E25724" w:rsidP="00E25724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podává nabídku více dodavatelů společně, musí být v záhlaví návrhu smlouvy uvedeni všichni dodavatelé, kteří podávají společnou nabídku, a návrh smlouvy musí být (ve všech částech k podpisu určených) podepsán oprávněnou osobou všech dodavatelů, kteří podávají společnou nabídku;</w:t>
      </w:r>
    </w:p>
    <w:p w14:paraId="05707A99" w14:textId="0C23280E" w:rsidR="00E25724" w:rsidRPr="00E25724" w:rsidRDefault="00E25724" w:rsidP="00E25724">
      <w:pPr>
        <w:tabs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Mít připojeny všechny přílohy, na které návrh smlouvy odkazuje.</w:t>
      </w:r>
    </w:p>
    <w:p w14:paraId="398BEC3E" w14:textId="6AD11F01" w:rsidR="00401442" w:rsidRPr="00E25724" w:rsidRDefault="00401442" w:rsidP="00C864F8">
      <w:pPr>
        <w:numPr>
          <w:ilvl w:val="1"/>
          <w:numId w:val="1"/>
        </w:numPr>
        <w:tabs>
          <w:tab w:val="num" w:pos="540"/>
          <w:tab w:val="num" w:pos="1004"/>
        </w:tabs>
        <w:spacing w:before="120" w:after="12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Specifikaci nabízeného plnění:</w:t>
      </w:r>
    </w:p>
    <w:p w14:paraId="50E8858D" w14:textId="10393BC1" w:rsidR="00E25724" w:rsidRPr="00E25724" w:rsidRDefault="00E25724" w:rsidP="00E25724">
      <w:pPr>
        <w:tabs>
          <w:tab w:val="num" w:pos="1004"/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v nabídce předloží technickou specifikaci nabízeného plnění, kterou dodavatel zpracuje řádným vyplněním údajů v příloze č. 1 smluvního vzoru kupní smlouvy 2900/00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205 pro část 1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F92516" w:rsidRPr="00F92516">
        <w:rPr>
          <w:rFonts w:ascii="Times New Roman" w:eastAsia="Times New Roman" w:hAnsi="Times New Roman" w:cs="Times New Roman"/>
          <w:sz w:val="24"/>
          <w:szCs w:val="24"/>
          <w:lang w:eastAsia="cs-CZ"/>
        </w:rPr>
        <w:t>- Multimetry pro měření F-CH parametrů se sondami laboratorní 2 Ks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příloze č. 1smluvního vzoru kupní smlouvy 2900/00206 pro část 2 </w:t>
      </w:r>
      <w:r w:rsidR="00F9251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F92516" w:rsidRPr="00F9251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Multimetry pro měření F-CH parametrů se sondami do terénu 2 ks</w:t>
      </w:r>
      <w:r w:rsidR="00F92516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14:paraId="0358447F" w14:textId="457B73E9" w:rsidR="00E25724" w:rsidRPr="00E25724" w:rsidRDefault="00E25724" w:rsidP="00E25724">
      <w:pPr>
        <w:tabs>
          <w:tab w:val="num" w:pos="1004"/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vyplní v příloze č. 1 smluvního vzoru kupní smlouvy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 část zakázky na kterou podává nabídku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„technická specifikace a minimální technické požadavky“ požadované údaje. Specifikace dodavatelem uvedeného zboží musí splňovat požadavky na podrobnou technickou specifikaci zboží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minimální technické parametry požadované 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zadavatelem, které jsou stanoveny v dokumentech „technická specifikace a minimální technické požadavky pro část 1“ a</w:t>
      </w:r>
      <w:r w:rsidR="00F925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„technická specifikace a minimální technické požadavky pro část 2“, kter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tvoří přílohu č. 1 návrhu kupn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166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část 1 a pro část 2</w:t>
      </w: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39F6212" w14:textId="6F263086" w:rsidR="00E25724" w:rsidRPr="00E25724" w:rsidRDefault="00E25724" w:rsidP="00E25724">
      <w:pPr>
        <w:tabs>
          <w:tab w:val="num" w:pos="1004"/>
          <w:tab w:val="num" w:pos="5180"/>
        </w:tabs>
        <w:spacing w:before="120" w:after="120" w:line="240" w:lineRule="auto"/>
        <w:ind w:left="53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E2572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smluvního vzoru kupní smlouvy - „technická specifikace a minimální technické požadavky“ - tvoří nedílnou součást příslušné kupní smlouvy. Dodavatel odpovídá za řádně vyplněnou technickou specifikaci, která je obsažena v příloze č. 1 smluvního vzoru příslušné kupní smlouvy.</w:t>
      </w:r>
    </w:p>
    <w:p w14:paraId="18123A23" w14:textId="717A75CB" w:rsidR="00401442" w:rsidRPr="00B91843" w:rsidRDefault="007F34B8" w:rsidP="00C864F8">
      <w:pPr>
        <w:numPr>
          <w:ilvl w:val="2"/>
          <w:numId w:val="1"/>
        </w:numPr>
        <w:tabs>
          <w:tab w:val="clear" w:pos="100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Nabídkovou cenu dodavatel zpracuje výhradně řádným vyplněním cenových údajů v příloze č. 1 této ZD „Návrh kupní smlouvy“, konkrétně v čl. 4. 1.  smluvního vzoru</w:t>
      </w:r>
      <w:r w:rsidR="00B503A2" w:rsidRPr="00B503A2">
        <w:t xml:space="preserve"> </w:t>
      </w:r>
      <w:r w:rsidR="00B503A2" w:rsidRPr="009B75DC">
        <w:t>u</w:t>
      </w:r>
      <w:r w:rsidR="00B503A2">
        <w:t> </w:t>
      </w:r>
      <w:r w:rsidR="00B503A2" w:rsidRPr="009B75DC">
        <w:t>každé z </w:t>
      </w:r>
      <w:r w:rsidR="00B503A2">
        <w:t>č</w:t>
      </w:r>
      <w:r w:rsidR="00B503A2" w:rsidRPr="009B75DC">
        <w:t>ástí, pro kterou dodavatel nabídku předkládá</w:t>
      </w: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C646E2A" w14:textId="77777777" w:rsidR="007F34B8" w:rsidRPr="00B91843" w:rsidRDefault="007F34B8" w:rsidP="00C864F8">
      <w:pPr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65222" w14:textId="27D2D320" w:rsidR="007F34B8" w:rsidRPr="00B91843" w:rsidRDefault="007F34B8" w:rsidP="007F34B8">
      <w:pPr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je povinen uvést nabídkovou cenu bez DPH i nabídkovou cenu včetně DPH a částku DPH. Takto stanovená </w:t>
      </w: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nabídková cena bude zahrnovat veškeré náklady dodavatele související s poskytnutím plnění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náklady na dopravu do místa plnění, clo, balné, montáž, instalace apod.).</w:t>
      </w:r>
    </w:p>
    <w:p w14:paraId="5652F1E8" w14:textId="77777777" w:rsidR="007F34B8" w:rsidRPr="00B91843" w:rsidRDefault="007F34B8" w:rsidP="007F34B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D6E2F" w14:textId="2780DB93" w:rsidR="00401442" w:rsidRPr="00B91843" w:rsidRDefault="007F34B8" w:rsidP="00C864F8">
      <w:pPr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Zadavatel upozorňuje, že pro hodnocení je rozhodná cena zapsaná v čl. 4.1. </w:t>
      </w:r>
      <w:r w:rsidR="00B503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příslušného </w:t>
      </w:r>
      <w:r w:rsidRPr="00B91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návrhu smlouvy a tato cena bude také závazná při případném uzavření smlouvy.</w:t>
      </w:r>
    </w:p>
    <w:p w14:paraId="6238D55E" w14:textId="77777777" w:rsidR="00401442" w:rsidRPr="00B91843" w:rsidRDefault="00401442" w:rsidP="00C864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5E5E40" w14:textId="23366A27" w:rsidR="00401442" w:rsidRPr="00B91843" w:rsidRDefault="00384606" w:rsidP="00C864F8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24" w:name="_Toc198799300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NÁVRH</w:t>
      </w:r>
      <w:r w:rsidR="00401442"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KUPNÍ SMLOUVY</w:t>
      </w:r>
      <w:bookmarkEnd w:id="24"/>
    </w:p>
    <w:p w14:paraId="1F1F232B" w14:textId="06B6C3E8" w:rsidR="00401442" w:rsidRPr="00B91843" w:rsidRDefault="00384606" w:rsidP="00B503A2">
      <w:pPr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</w:t>
      </w:r>
      <w:r w:rsidR="007F34B8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401442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kupní smlouvy </w:t>
      </w:r>
      <w:r w:rsidR="006B0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část 1 a část 2 </w:t>
      </w:r>
      <w:r w:rsidR="00401442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jako nedílná součást</w:t>
      </w:r>
      <w:r w:rsidR="00401442"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příloh</w:t>
      </w:r>
      <w:r w:rsidR="006B0C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y</w:t>
      </w:r>
      <w:r w:rsidR="00401442"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č. </w:t>
      </w:r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="00401442"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401442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ZD</w:t>
      </w:r>
      <w:r w:rsidR="00C5515E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894EC96" w14:textId="77777777" w:rsidR="00401442" w:rsidRPr="00B91843" w:rsidRDefault="00401442" w:rsidP="00C864F8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25" w:name="_Toc198799301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SPECIFIKACE </w:t>
      </w:r>
      <w:proofErr w:type="gramStart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PLNĚNÍ - TECHNICKÉ</w:t>
      </w:r>
      <w:proofErr w:type="gramEnd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PODMÍNKY</w:t>
      </w:r>
      <w:bookmarkEnd w:id="25"/>
      <w:r w:rsidRPr="00B91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</w:t>
      </w:r>
    </w:p>
    <w:p w14:paraId="5444E04D" w14:textId="075AB559" w:rsidR="00401442" w:rsidRPr="00B91843" w:rsidRDefault="00401442" w:rsidP="00C864F8">
      <w:pPr>
        <w:tabs>
          <w:tab w:val="left" w:pos="708"/>
        </w:tabs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6" w:name="_Hlk111112369"/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Podrobná specifikace plnění, jeho popis, kvantifikace a minimální technické požadavky zadavatele na </w:t>
      </w:r>
      <w:r w:rsidR="006B0C2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plnění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uvedeny v</w:t>
      </w:r>
      <w:r w:rsidR="00384606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 dokument</w:t>
      </w:r>
      <w:r w:rsidR="006B0C2C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384606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technická specifikace a</w:t>
      </w:r>
      <w:r w:rsidR="007F34B8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384606"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minimální technické požadavky</w:t>
      </w:r>
      <w:r w:rsidR="006B0C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část 1 </w:t>
      </w:r>
      <w:r w:rsidRPr="00B918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6B0C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 w:rsidR="006B0C2C" w:rsidRPr="006B0C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„technická specifikace a minimální technické požadavky pro část 1 “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6B0C2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jako nedílná součást </w:t>
      </w:r>
      <w:r w:rsidRPr="00B9184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přílohu č. </w:t>
      </w:r>
      <w:r w:rsidR="00384606" w:rsidRPr="00B9184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0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odpovídajícího </w:t>
      </w:r>
      <w:r w:rsidR="00384606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návrhu kupní smlouvy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EB0640" w14:textId="21637D78" w:rsidR="00011466" w:rsidRDefault="00011466" w:rsidP="00C864F8">
      <w:pPr>
        <w:tabs>
          <w:tab w:val="left" w:pos="708"/>
        </w:tabs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bookmarkEnd w:id="26"/>
    <w:p w14:paraId="715DD172" w14:textId="77777777" w:rsidR="00401442" w:rsidRPr="00B91843" w:rsidRDefault="00401442" w:rsidP="004014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8FCB3" w14:textId="77777777" w:rsidR="00401442" w:rsidRPr="00B91843" w:rsidRDefault="00401442" w:rsidP="00401442">
      <w:pPr>
        <w:spacing w:after="60" w:line="240" w:lineRule="auto"/>
        <w:ind w:left="567" w:right="70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3234A" w14:textId="746DBDFF" w:rsidR="00401442" w:rsidRPr="00B91843" w:rsidRDefault="00401442" w:rsidP="0040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V Brně dne</w:t>
      </w:r>
      <w:r w:rsidR="001032D0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1854">
        <w:rPr>
          <w:rFonts w:ascii="Times New Roman" w:eastAsia="Times New Roman" w:hAnsi="Times New Roman" w:cs="Times New Roman"/>
          <w:sz w:val="24"/>
          <w:szCs w:val="24"/>
          <w:lang w:eastAsia="cs-CZ"/>
        </w:rPr>
        <w:t>dle data el. podpisu</w:t>
      </w:r>
    </w:p>
    <w:p w14:paraId="4AAD9391" w14:textId="74F19A02" w:rsidR="00401442" w:rsidRPr="00B91843" w:rsidRDefault="00401442" w:rsidP="00401442">
      <w:pPr>
        <w:spacing w:after="0" w:line="240" w:lineRule="auto"/>
        <w:ind w:left="2844" w:firstLine="69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="00781854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</w:p>
    <w:p w14:paraId="0232CE6C" w14:textId="77D546F1" w:rsidR="00A63DF1" w:rsidRPr="00B91843" w:rsidRDefault="00384606" w:rsidP="00A63DF1">
      <w:pPr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sz w:val="24"/>
          <w:szCs w:val="24"/>
          <w:lang w:eastAsia="cs-CZ"/>
        </w:rPr>
        <w:t xml:space="preserve">  </w:t>
      </w:r>
      <w:r w:rsidR="00A63DF1" w:rsidRPr="00B91843">
        <w:rPr>
          <w:sz w:val="24"/>
          <w:szCs w:val="24"/>
          <w:lang w:eastAsia="cs-CZ"/>
        </w:rPr>
        <w:tab/>
      </w:r>
      <w:bookmarkStart w:id="27" w:name="_Hlk183761433"/>
      <w:r w:rsidR="00A63DF1"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>FVHE VETUNI</w:t>
      </w:r>
    </w:p>
    <w:p w14:paraId="376A5727" w14:textId="77777777" w:rsidR="00A63DF1" w:rsidRPr="00B91843" w:rsidRDefault="00A63DF1" w:rsidP="00A63DF1">
      <w:pPr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zastoupená Ing. Josefem Kupčíkem</w:t>
      </w:r>
    </w:p>
    <w:p w14:paraId="059E5015" w14:textId="77777777" w:rsidR="00A63DF1" w:rsidRPr="00B91843" w:rsidRDefault="00A63DF1" w:rsidP="00A63DF1">
      <w:pPr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tajemníkem FVHE,</w:t>
      </w:r>
    </w:p>
    <w:p w14:paraId="6EA87D8E" w14:textId="3DEBD60C" w:rsidR="00401442" w:rsidRPr="006B0C2C" w:rsidRDefault="00A63DF1" w:rsidP="006B0C2C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8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na základě plné moci ze dne 3. 4. 2023</w:t>
      </w:r>
      <w:bookmarkEnd w:id="27"/>
    </w:p>
    <w:sectPr w:rsidR="00401442" w:rsidRPr="006B0C2C" w:rsidSect="008654C4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047A" w14:textId="77777777" w:rsidR="008D1D5C" w:rsidRDefault="008D1D5C" w:rsidP="00401442">
      <w:pPr>
        <w:spacing w:after="0" w:line="240" w:lineRule="auto"/>
      </w:pPr>
      <w:r>
        <w:separator/>
      </w:r>
    </w:p>
  </w:endnote>
  <w:endnote w:type="continuationSeparator" w:id="0">
    <w:p w14:paraId="0CB075A9" w14:textId="77777777" w:rsidR="008D1D5C" w:rsidRDefault="008D1D5C" w:rsidP="0040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4653"/>
      <w:docPartObj>
        <w:docPartGallery w:val="Page Numbers (Bottom of Page)"/>
        <w:docPartUnique/>
      </w:docPartObj>
    </w:sdtPr>
    <w:sdtEndPr/>
    <w:sdtContent>
      <w:p w14:paraId="78258C40" w14:textId="4F1834F0" w:rsidR="003F1902" w:rsidRDefault="003F19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7053A" w14:textId="77777777" w:rsidR="003F1902" w:rsidRDefault="003F19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8154" w14:textId="77777777" w:rsidR="008D1D5C" w:rsidRDefault="008D1D5C" w:rsidP="00401442">
      <w:pPr>
        <w:spacing w:after="0" w:line="240" w:lineRule="auto"/>
      </w:pPr>
      <w:r>
        <w:separator/>
      </w:r>
    </w:p>
  </w:footnote>
  <w:footnote w:type="continuationSeparator" w:id="0">
    <w:p w14:paraId="758537C2" w14:textId="77777777" w:rsidR="008D1D5C" w:rsidRDefault="008D1D5C" w:rsidP="0040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2EF0" w14:textId="03A556D1" w:rsidR="00401442" w:rsidRDefault="00401442" w:rsidP="0040144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28" w:name="_Hlk66794495"/>
    <w:bookmarkStart w:id="29" w:name="_Hlk66794496"/>
    <w:bookmarkStart w:id="30" w:name="_Hlk68697761"/>
    <w:bookmarkStart w:id="31" w:name="_Hlk68697762"/>
  </w:p>
  <w:p w14:paraId="498E7F29" w14:textId="77777777" w:rsidR="00401442" w:rsidRDefault="00401442" w:rsidP="0040144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bookmarkEnd w:id="28"/>
  <w:bookmarkEnd w:id="29"/>
  <w:bookmarkEnd w:id="30"/>
  <w:bookmarkEnd w:id="31"/>
  <w:p w14:paraId="63EB7172" w14:textId="77777777" w:rsidR="00401442" w:rsidRPr="00591D8F" w:rsidRDefault="00401442" w:rsidP="00401442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p w14:paraId="5A6C06BE" w14:textId="77777777" w:rsidR="00401442" w:rsidRDefault="004014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8ACA" w14:textId="29C208EF" w:rsidR="008654C4" w:rsidRDefault="000D780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240628" wp14:editId="050D0866">
          <wp:simplePos x="0" y="0"/>
          <wp:positionH relativeFrom="margin">
            <wp:align>left</wp:align>
          </wp:positionH>
          <wp:positionV relativeFrom="paragraph">
            <wp:posOffset>173990</wp:posOffset>
          </wp:positionV>
          <wp:extent cx="5760720" cy="1151890"/>
          <wp:effectExtent l="0" t="0" r="0" b="0"/>
          <wp:wrapTopAndBottom/>
          <wp:docPr id="4" name="Obrázek 4" descr="C:\Users\kaderovam\Desktop\Logolink_EU_MSMT_NPO_Barev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derovam\Desktop\Logolink_EU_MSMT_NPO_Barev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BAB164A"/>
    <w:multiLevelType w:val="hybridMultilevel"/>
    <w:tmpl w:val="46FEF4AE"/>
    <w:lvl w:ilvl="0" w:tplc="47F28D4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EA54A0D"/>
    <w:multiLevelType w:val="hybridMultilevel"/>
    <w:tmpl w:val="50C642BC"/>
    <w:lvl w:ilvl="0" w:tplc="0250EDF6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664955"/>
    <w:multiLevelType w:val="multilevel"/>
    <w:tmpl w:val="FFF26F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5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42"/>
    <w:rsid w:val="00000D31"/>
    <w:rsid w:val="00011466"/>
    <w:rsid w:val="000603C4"/>
    <w:rsid w:val="000D780E"/>
    <w:rsid w:val="000F1839"/>
    <w:rsid w:val="001032D0"/>
    <w:rsid w:val="00123E06"/>
    <w:rsid w:val="00160A8A"/>
    <w:rsid w:val="00166E8C"/>
    <w:rsid w:val="00171A9F"/>
    <w:rsid w:val="001B2356"/>
    <w:rsid w:val="001C1D33"/>
    <w:rsid w:val="001C2230"/>
    <w:rsid w:val="001E13F9"/>
    <w:rsid w:val="0021486B"/>
    <w:rsid w:val="00237EDF"/>
    <w:rsid w:val="002C1469"/>
    <w:rsid w:val="002E2178"/>
    <w:rsid w:val="00351946"/>
    <w:rsid w:val="00351C03"/>
    <w:rsid w:val="00374553"/>
    <w:rsid w:val="00384606"/>
    <w:rsid w:val="003C70A4"/>
    <w:rsid w:val="003F1902"/>
    <w:rsid w:val="00401442"/>
    <w:rsid w:val="004361F9"/>
    <w:rsid w:val="0047203D"/>
    <w:rsid w:val="00500EE4"/>
    <w:rsid w:val="005207FD"/>
    <w:rsid w:val="00570ED7"/>
    <w:rsid w:val="005724A2"/>
    <w:rsid w:val="00582A58"/>
    <w:rsid w:val="00583374"/>
    <w:rsid w:val="0059359A"/>
    <w:rsid w:val="00597288"/>
    <w:rsid w:val="005E662C"/>
    <w:rsid w:val="00681CF4"/>
    <w:rsid w:val="006868D1"/>
    <w:rsid w:val="0069076F"/>
    <w:rsid w:val="006B0C2C"/>
    <w:rsid w:val="006D4C93"/>
    <w:rsid w:val="006F137C"/>
    <w:rsid w:val="006F30BE"/>
    <w:rsid w:val="0075204A"/>
    <w:rsid w:val="00774CB3"/>
    <w:rsid w:val="00781854"/>
    <w:rsid w:val="00796314"/>
    <w:rsid w:val="007F34B8"/>
    <w:rsid w:val="008654C4"/>
    <w:rsid w:val="00887FEC"/>
    <w:rsid w:val="008A322A"/>
    <w:rsid w:val="008D1D5C"/>
    <w:rsid w:val="008E53BA"/>
    <w:rsid w:val="00921151"/>
    <w:rsid w:val="0093484F"/>
    <w:rsid w:val="009358E2"/>
    <w:rsid w:val="0094222B"/>
    <w:rsid w:val="00964D5D"/>
    <w:rsid w:val="009C0AB9"/>
    <w:rsid w:val="00A338EF"/>
    <w:rsid w:val="00A420AB"/>
    <w:rsid w:val="00A4600E"/>
    <w:rsid w:val="00A63DF1"/>
    <w:rsid w:val="00A6500B"/>
    <w:rsid w:val="00AF712D"/>
    <w:rsid w:val="00B503A2"/>
    <w:rsid w:val="00B601C1"/>
    <w:rsid w:val="00B866DC"/>
    <w:rsid w:val="00B91843"/>
    <w:rsid w:val="00BE3E72"/>
    <w:rsid w:val="00BF0A26"/>
    <w:rsid w:val="00C203CF"/>
    <w:rsid w:val="00C5515E"/>
    <w:rsid w:val="00C6718E"/>
    <w:rsid w:val="00C84FEC"/>
    <w:rsid w:val="00C864F8"/>
    <w:rsid w:val="00CC520D"/>
    <w:rsid w:val="00CC6772"/>
    <w:rsid w:val="00CF1621"/>
    <w:rsid w:val="00D55956"/>
    <w:rsid w:val="00D60FDD"/>
    <w:rsid w:val="00D83CFA"/>
    <w:rsid w:val="00D97975"/>
    <w:rsid w:val="00DC3A53"/>
    <w:rsid w:val="00E16FFE"/>
    <w:rsid w:val="00E25724"/>
    <w:rsid w:val="00E34DBB"/>
    <w:rsid w:val="00E41527"/>
    <w:rsid w:val="00E50352"/>
    <w:rsid w:val="00E61465"/>
    <w:rsid w:val="00E861F3"/>
    <w:rsid w:val="00EA0892"/>
    <w:rsid w:val="00EF1C36"/>
    <w:rsid w:val="00F26A4E"/>
    <w:rsid w:val="00F72909"/>
    <w:rsid w:val="00F92516"/>
    <w:rsid w:val="00F96FD7"/>
    <w:rsid w:val="00FB519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5658"/>
  <w15:chartTrackingRefBased/>
  <w15:docId w15:val="{C6ADE11F-BE7E-4C03-8610-1B198A4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442"/>
  </w:style>
  <w:style w:type="paragraph" w:styleId="Zpat">
    <w:name w:val="footer"/>
    <w:basedOn w:val="Normln"/>
    <w:link w:val="ZpatChar"/>
    <w:uiPriority w:val="99"/>
    <w:unhideWhenUsed/>
    <w:rsid w:val="0040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442"/>
  </w:style>
  <w:style w:type="character" w:customStyle="1" w:styleId="Nadpis1Char">
    <w:name w:val="Nadpis 1 Char"/>
    <w:basedOn w:val="Standardnpsmoodstavce"/>
    <w:link w:val="Nadpis1"/>
    <w:uiPriority w:val="9"/>
    <w:rsid w:val="0040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0144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0144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0144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401442"/>
    <w:pPr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EA08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089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96FD7"/>
    <w:pPr>
      <w:ind w:left="720"/>
      <w:contextualSpacing/>
    </w:pPr>
  </w:style>
  <w:style w:type="paragraph" w:styleId="Bezmezer">
    <w:name w:val="No Spacing"/>
    <w:uiPriority w:val="1"/>
    <w:qFormat/>
    <w:rsid w:val="00384606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etuni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7F507890D8441A59B77BE1F71F35B" ma:contentTypeVersion="6" ma:contentTypeDescription="Vytvoří nový dokument" ma:contentTypeScope="" ma:versionID="6e2a2bf48f817bc134e8034f6da3a3d0">
  <xsd:schema xmlns:xsd="http://www.w3.org/2001/XMLSchema" xmlns:xs="http://www.w3.org/2001/XMLSchema" xmlns:p="http://schemas.microsoft.com/office/2006/metadata/properties" xmlns:ns3="2d157767-1abe-4ddc-a60f-0327ebfda9f2" targetNamespace="http://schemas.microsoft.com/office/2006/metadata/properties" ma:root="true" ma:fieldsID="18ed202cd096986345610ed7f4231b67" ns3:_="">
    <xsd:import namespace="2d157767-1abe-4ddc-a60f-0327ebfda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7767-1abe-4ddc-a60f-0327ebfd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FCCA5-7356-40FC-A078-16DD6E55B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7767-1abe-4ddc-a60f-0327ebfd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8D74F-799D-4FA4-A53A-964A93146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448B4-D389-4BB8-AC0C-617F2C766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0C3C4-F3EC-44C3-AEBE-42F4DFF79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2517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14</cp:revision>
  <cp:lastPrinted>2025-05-22T07:46:00Z</cp:lastPrinted>
  <dcterms:created xsi:type="dcterms:W3CDTF">2025-04-10T06:06:00Z</dcterms:created>
  <dcterms:modified xsi:type="dcterms:W3CDTF">2025-05-22T07:46:00Z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